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968"/>
        <w:gridCol w:w="3645"/>
        <w:gridCol w:w="2630"/>
      </w:tblGrid>
      <w:tr w:rsidR="00336ECB" w:rsidTr="00F96520">
        <w:trPr>
          <w:trHeight w:val="2268"/>
        </w:trPr>
        <w:tc>
          <w:tcPr>
            <w:tcW w:w="287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36ECB" w:rsidRPr="008933B9" w:rsidRDefault="00336ECB" w:rsidP="00F96520">
            <w:pPr>
              <w:pStyle w:val="NormalWeb"/>
              <w:jc w:val="both"/>
              <w:rPr>
                <w:rFonts w:ascii="Georgia" w:eastAsiaTheme="minorEastAsia" w:hAnsi="Georgia"/>
                <w:b/>
                <w:color w:val="444444"/>
                <w:sz w:val="40"/>
                <w:szCs w:val="40"/>
              </w:rPr>
            </w:pPr>
            <w:r>
              <w:object w:dxaOrig="315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85pt;height:111.15pt" o:ole="">
                  <v:imagedata r:id="rId6" o:title=""/>
                </v:shape>
                <o:OLEObject Type="Embed" ProgID="PBrush" ShapeID="_x0000_i1025" DrawAspect="Content" ObjectID="_1589274394" r:id="rId7"/>
              </w:object>
            </w:r>
          </w:p>
        </w:tc>
        <w:tc>
          <w:tcPr>
            <w:tcW w:w="3666" w:type="dxa"/>
            <w:shd w:val="clear" w:color="auto" w:fill="FFFFFF" w:themeFill="background1"/>
          </w:tcPr>
          <w:p w:rsidR="00336ECB" w:rsidRPr="008933B9" w:rsidRDefault="00336ECB" w:rsidP="00336ECB">
            <w:pPr>
              <w:pStyle w:val="NormalWeb"/>
              <w:jc w:val="both"/>
              <w:rPr>
                <w:rFonts w:ascii="Georgia" w:eastAsiaTheme="minorEastAsia" w:hAnsi="Georgia"/>
                <w:b/>
                <w:color w:val="444444"/>
                <w:sz w:val="40"/>
                <w:szCs w:val="40"/>
              </w:rPr>
            </w:pPr>
            <w:r>
              <w:object w:dxaOrig="9690" w:dyaOrig="7200">
                <v:shape id="_x0000_i1026" type="#_x0000_t75" style="width:172.15pt;height:111.15pt" o:ole="">
                  <v:imagedata r:id="rId8" o:title=""/>
                </v:shape>
                <o:OLEObject Type="Embed" ProgID="PBrush" ShapeID="_x0000_i1026" DrawAspect="Content" ObjectID="_1589274395" r:id="rId9"/>
              </w:object>
            </w:r>
          </w:p>
        </w:tc>
        <w:tc>
          <w:tcPr>
            <w:tcW w:w="2733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336ECB" w:rsidRPr="008933B9" w:rsidRDefault="00336ECB" w:rsidP="00142AD0">
            <w:pPr>
              <w:pStyle w:val="NormalWeb"/>
              <w:spacing w:before="240" w:after="240"/>
              <w:jc w:val="both"/>
              <w:rPr>
                <w:rFonts w:ascii="Georgia" w:eastAsiaTheme="minorEastAsia" w:hAnsi="Georgia"/>
                <w:b/>
                <w:color w:val="444444"/>
                <w:sz w:val="40"/>
                <w:szCs w:val="40"/>
              </w:rPr>
            </w:pPr>
            <w:r>
              <w:object w:dxaOrig="2700" w:dyaOrig="2460">
                <v:shape id="_x0000_i1027" type="#_x0000_t75" style="width:121.3pt;height:112.7pt" o:ole="">
                  <v:imagedata r:id="rId10" o:title=""/>
                </v:shape>
                <o:OLEObject Type="Embed" ProgID="PBrush" ShapeID="_x0000_i1027" DrawAspect="Content" ObjectID="_1589274396" r:id="rId11"/>
              </w:object>
            </w:r>
          </w:p>
        </w:tc>
      </w:tr>
      <w:tr w:rsidR="00336ECB" w:rsidRPr="00336ECB" w:rsidTr="00F96520">
        <w:trPr>
          <w:trHeight w:val="2552"/>
        </w:trPr>
        <w:tc>
          <w:tcPr>
            <w:tcW w:w="926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336ECB" w:rsidRPr="00A20DDC" w:rsidRDefault="00336ECB" w:rsidP="00336ECB">
            <w:pPr>
              <w:pStyle w:val="NormalWeb"/>
              <w:shd w:val="clear" w:color="auto" w:fill="FFFFFF"/>
              <w:spacing w:beforeAutospacing="0" w:afterAutospacing="0"/>
              <w:jc w:val="both"/>
              <w:rPr>
                <w:b/>
                <w:color w:val="0070C0"/>
                <w:sz w:val="40"/>
                <w:szCs w:val="40"/>
              </w:rPr>
            </w:pPr>
            <w:r w:rsidRPr="00A20DDC">
              <w:rPr>
                <w:b/>
                <w:color w:val="0070C0"/>
                <w:sz w:val="40"/>
                <w:szCs w:val="40"/>
              </w:rPr>
              <w:t xml:space="preserve">PhD scholarship on </w:t>
            </w:r>
            <w:r w:rsidR="00F96520">
              <w:rPr>
                <w:rFonts w:eastAsia="Malgun Gothic" w:hint="eastAsia"/>
                <w:b/>
                <w:color w:val="0070C0"/>
                <w:sz w:val="40"/>
                <w:szCs w:val="40"/>
              </w:rPr>
              <w:t xml:space="preserve">the </w:t>
            </w:r>
            <w:r w:rsidR="00484942">
              <w:rPr>
                <w:rFonts w:eastAsia="Malgun Gothic" w:hint="eastAsia"/>
                <w:b/>
                <w:color w:val="0070C0"/>
                <w:sz w:val="40"/>
                <w:szCs w:val="40"/>
              </w:rPr>
              <w:t>Bi</w:t>
            </w:r>
            <w:r w:rsidR="00F96520">
              <w:rPr>
                <w:rFonts w:eastAsia="Malgun Gothic" w:hint="eastAsia"/>
                <w:b/>
                <w:color w:val="0070C0"/>
                <w:sz w:val="40"/>
                <w:szCs w:val="40"/>
              </w:rPr>
              <w:t>lingual</w:t>
            </w:r>
            <w:r w:rsidR="00484942">
              <w:rPr>
                <w:rFonts w:eastAsia="Malgun Gothic" w:hint="eastAsia"/>
                <w:b/>
                <w:color w:val="0070C0"/>
                <w:sz w:val="40"/>
                <w:szCs w:val="40"/>
              </w:rPr>
              <w:t>/</w:t>
            </w:r>
            <w:r w:rsidRPr="00A20DDC">
              <w:rPr>
                <w:rFonts w:eastAsia="Malgun Gothic" w:hint="eastAsia"/>
                <w:b/>
                <w:color w:val="0070C0"/>
                <w:sz w:val="40"/>
                <w:szCs w:val="40"/>
              </w:rPr>
              <w:t>Multi</w:t>
            </w:r>
            <w:r w:rsidRPr="00A20DDC">
              <w:rPr>
                <w:b/>
                <w:color w:val="0070C0"/>
                <w:sz w:val="40"/>
                <w:szCs w:val="40"/>
              </w:rPr>
              <w:t>lingual Brain</w:t>
            </w:r>
          </w:p>
          <w:p w:rsidR="00336ECB" w:rsidRPr="00336ECB" w:rsidRDefault="00336ECB" w:rsidP="00336ECB">
            <w:pPr>
              <w:pStyle w:val="NormalWeb"/>
              <w:shd w:val="clear" w:color="auto" w:fill="FFFFFF"/>
              <w:jc w:val="both"/>
              <w:rPr>
                <w:color w:val="444444"/>
                <w:sz w:val="28"/>
                <w:szCs w:val="28"/>
              </w:rPr>
            </w:pPr>
            <w:r w:rsidRPr="00336ECB">
              <w:rPr>
                <w:color w:val="444444"/>
                <w:sz w:val="28"/>
                <w:szCs w:val="28"/>
              </w:rPr>
              <w:t xml:space="preserve">The Faculty of Modern Languages and Communication at UPM is a beneficiary in </w:t>
            </w:r>
            <w:hyperlink r:id="rId12" w:history="1">
              <w:r w:rsidRPr="00336ECB">
                <w:rPr>
                  <w:rStyle w:val="Hyperlink"/>
                  <w:b/>
                  <w:bCs/>
                  <w:sz w:val="28"/>
                  <w:szCs w:val="28"/>
                </w:rPr>
                <w:t>The Multilingual Mind</w:t>
              </w:r>
            </w:hyperlink>
            <w:r w:rsidRPr="00336ECB">
              <w:rPr>
                <w:b/>
                <w:bCs/>
                <w:color w:val="444444"/>
                <w:sz w:val="28"/>
                <w:szCs w:val="28"/>
              </w:rPr>
              <w:t xml:space="preserve"> (</w:t>
            </w:r>
            <w:proofErr w:type="spellStart"/>
            <w:r w:rsidRPr="00336ECB">
              <w:rPr>
                <w:b/>
                <w:bCs/>
                <w:color w:val="444444"/>
                <w:sz w:val="28"/>
                <w:szCs w:val="28"/>
              </w:rPr>
              <w:t>MultiMind</w:t>
            </w:r>
            <w:proofErr w:type="spellEnd"/>
            <w:r w:rsidRPr="00336ECB">
              <w:rPr>
                <w:b/>
                <w:bCs/>
                <w:color w:val="444444"/>
                <w:sz w:val="28"/>
                <w:szCs w:val="28"/>
              </w:rPr>
              <w:t>)</w:t>
            </w:r>
            <w:r w:rsidRPr="00336ECB">
              <w:rPr>
                <w:color w:val="444444"/>
                <w:sz w:val="28"/>
                <w:szCs w:val="28"/>
              </w:rPr>
              <w:t xml:space="preserve">, a project funded by the European Union's Horizon2020 research and innovation programme under the Marie </w:t>
            </w:r>
            <w:proofErr w:type="spellStart"/>
            <w:r w:rsidRPr="00336ECB">
              <w:rPr>
                <w:color w:val="444444"/>
                <w:sz w:val="28"/>
                <w:szCs w:val="28"/>
              </w:rPr>
              <w:t>Skłodowska</w:t>
            </w:r>
            <w:proofErr w:type="spellEnd"/>
            <w:r w:rsidRPr="00336ECB">
              <w:rPr>
                <w:color w:val="444444"/>
                <w:sz w:val="28"/>
                <w:szCs w:val="28"/>
              </w:rPr>
              <w:t xml:space="preserve"> Curie grant agreement No 765556. </w:t>
            </w:r>
            <w:proofErr w:type="spellStart"/>
            <w:r w:rsidRPr="00336ECB">
              <w:rPr>
                <w:color w:val="444444"/>
                <w:sz w:val="28"/>
                <w:szCs w:val="28"/>
              </w:rPr>
              <w:t>MultiMind</w:t>
            </w:r>
            <w:proofErr w:type="spellEnd"/>
            <w:r w:rsidRPr="00336ECB">
              <w:rPr>
                <w:color w:val="444444"/>
                <w:sz w:val="28"/>
                <w:szCs w:val="28"/>
              </w:rPr>
              <w:t xml:space="preserve"> is an international multidisciplinary and </w:t>
            </w:r>
            <w:proofErr w:type="spellStart"/>
            <w:r w:rsidRPr="00336ECB">
              <w:rPr>
                <w:color w:val="444444"/>
                <w:sz w:val="28"/>
                <w:szCs w:val="28"/>
              </w:rPr>
              <w:t>multisectorial</w:t>
            </w:r>
            <w:proofErr w:type="spellEnd"/>
            <w:r w:rsidRPr="00336ECB">
              <w:rPr>
                <w:color w:val="444444"/>
                <w:sz w:val="28"/>
                <w:szCs w:val="28"/>
              </w:rPr>
              <w:t xml:space="preserve"> training network on multilingualism and it supports fifteen 3-year PhDs positions at various institutions, from September 2018. </w:t>
            </w:r>
          </w:p>
          <w:p w:rsidR="00336ECB" w:rsidRPr="00336ECB" w:rsidRDefault="00336ECB" w:rsidP="00336ECB">
            <w:pPr>
              <w:pStyle w:val="NormalWeb"/>
              <w:shd w:val="clear" w:color="auto" w:fill="FFFFFF"/>
              <w:jc w:val="both"/>
              <w:rPr>
                <w:color w:val="444444"/>
                <w:sz w:val="28"/>
                <w:szCs w:val="28"/>
              </w:rPr>
            </w:pPr>
            <w:r w:rsidRPr="00336ECB">
              <w:rPr>
                <w:color w:val="444444"/>
                <w:sz w:val="28"/>
                <w:szCs w:val="28"/>
              </w:rPr>
              <w:t xml:space="preserve">UPM will host one position. The PhD student will be supervised by Associate Professor Dr Yap </w:t>
            </w:r>
            <w:proofErr w:type="spellStart"/>
            <w:r w:rsidRPr="00336ECB">
              <w:rPr>
                <w:color w:val="444444"/>
                <w:sz w:val="28"/>
                <w:szCs w:val="28"/>
              </w:rPr>
              <w:t>Ngee</w:t>
            </w:r>
            <w:proofErr w:type="spellEnd"/>
            <w:r w:rsidRPr="00336ECB">
              <w:rPr>
                <w:color w:val="444444"/>
                <w:sz w:val="28"/>
                <w:szCs w:val="28"/>
              </w:rPr>
              <w:t xml:space="preserve"> Thai and co-supervision by </w:t>
            </w:r>
            <w:hyperlink r:id="rId13" w:history="1">
              <w:r w:rsidRPr="00336ECB">
                <w:rPr>
                  <w:rStyle w:val="Hyperlink"/>
                  <w:sz w:val="28"/>
                  <w:szCs w:val="28"/>
                </w:rPr>
                <w:t xml:space="preserve">Dr. Christos </w:t>
              </w:r>
              <w:proofErr w:type="spellStart"/>
              <w:r w:rsidRPr="00336ECB">
                <w:rPr>
                  <w:rStyle w:val="Hyperlink"/>
                  <w:sz w:val="28"/>
                  <w:szCs w:val="28"/>
                </w:rPr>
                <w:t>Pliatsikas</w:t>
              </w:r>
              <w:proofErr w:type="spellEnd"/>
            </w:hyperlink>
            <w:r w:rsidRPr="00336ECB">
              <w:rPr>
                <w:color w:val="444444"/>
                <w:sz w:val="28"/>
                <w:szCs w:val="28"/>
              </w:rPr>
              <w:t xml:space="preserve"> and </w:t>
            </w:r>
            <w:hyperlink r:id="rId14" w:history="1">
              <w:r w:rsidRPr="00336ECB">
                <w:rPr>
                  <w:rStyle w:val="Hyperlink"/>
                  <w:sz w:val="28"/>
                  <w:szCs w:val="28"/>
                </w:rPr>
                <w:t xml:space="preserve">Professor Doug </w:t>
              </w:r>
              <w:proofErr w:type="spellStart"/>
              <w:r w:rsidRPr="00336ECB">
                <w:rPr>
                  <w:rStyle w:val="Hyperlink"/>
                  <w:sz w:val="28"/>
                  <w:szCs w:val="28"/>
                </w:rPr>
                <w:t>Saddy</w:t>
              </w:r>
              <w:proofErr w:type="spellEnd"/>
            </w:hyperlink>
            <w:r w:rsidRPr="00336ECB">
              <w:rPr>
                <w:color w:val="444444"/>
                <w:sz w:val="28"/>
                <w:szCs w:val="28"/>
              </w:rPr>
              <w:t xml:space="preserve"> from University of Reading. The project involves investigating the brain structure and connectivity in the multilingual and </w:t>
            </w:r>
            <w:proofErr w:type="spellStart"/>
            <w:r w:rsidRPr="00336ECB">
              <w:rPr>
                <w:color w:val="444444"/>
                <w:sz w:val="28"/>
                <w:szCs w:val="28"/>
              </w:rPr>
              <w:t>multiliterate</w:t>
            </w:r>
            <w:proofErr w:type="spellEnd"/>
            <w:r w:rsidRPr="00336ECB">
              <w:rPr>
                <w:color w:val="444444"/>
                <w:sz w:val="28"/>
                <w:szCs w:val="28"/>
              </w:rPr>
              <w:t xml:space="preserve"> brain. The student will complete a six-month secondment at the University of Reading. </w:t>
            </w:r>
          </w:p>
          <w:p w:rsidR="00336ECB" w:rsidRPr="00336ECB" w:rsidRDefault="00336ECB" w:rsidP="00336ECB">
            <w:pPr>
              <w:pStyle w:val="NormalWeb"/>
              <w:shd w:val="clear" w:color="auto" w:fill="FFFFFF"/>
              <w:spacing w:beforeAutospacing="0" w:afterAutospacing="0"/>
              <w:jc w:val="both"/>
              <w:rPr>
                <w:color w:val="444444"/>
                <w:sz w:val="28"/>
                <w:szCs w:val="28"/>
              </w:rPr>
            </w:pPr>
            <w:r w:rsidRPr="00336ECB">
              <w:rPr>
                <w:color w:val="444444"/>
                <w:sz w:val="28"/>
                <w:szCs w:val="28"/>
              </w:rPr>
              <w:t>We are accepting applications now!!   </w:t>
            </w:r>
            <w:r w:rsidR="00A20DDC">
              <w:rPr>
                <w:rFonts w:eastAsia="Malgun Gothic" w:hint="eastAsia"/>
                <w:color w:val="444444"/>
                <w:sz w:val="28"/>
                <w:szCs w:val="28"/>
              </w:rPr>
              <w:t xml:space="preserve">               </w:t>
            </w:r>
            <w:r w:rsidRPr="00A20DDC">
              <w:rPr>
                <w:b/>
                <w:color w:val="444444"/>
                <w:sz w:val="28"/>
                <w:szCs w:val="28"/>
              </w:rPr>
              <w:t>Deadline:  30 June, 2018</w:t>
            </w:r>
          </w:p>
          <w:p w:rsidR="00462B5E" w:rsidRDefault="00336ECB" w:rsidP="00336ECB">
            <w:pPr>
              <w:pStyle w:val="NormalWeb"/>
              <w:shd w:val="clear" w:color="auto" w:fill="FFFFFF"/>
              <w:spacing w:beforeAutospacing="0" w:afterAutospacing="0"/>
              <w:jc w:val="both"/>
              <w:rPr>
                <w:rFonts w:eastAsia="Malgun Gothic"/>
                <w:color w:val="444444"/>
                <w:sz w:val="28"/>
                <w:szCs w:val="28"/>
              </w:rPr>
            </w:pPr>
            <w:r w:rsidRPr="00336ECB">
              <w:rPr>
                <w:color w:val="444444"/>
                <w:sz w:val="28"/>
                <w:szCs w:val="28"/>
              </w:rPr>
              <w:t>Click </w:t>
            </w:r>
            <w:hyperlink r:id="rId15" w:tgtFrame="_blank" w:history="1">
              <w:r w:rsidRPr="00336ECB">
                <w:rPr>
                  <w:rStyle w:val="Hyperlink"/>
                  <w:color w:val="1185D7"/>
                  <w:sz w:val="28"/>
                  <w:szCs w:val="28"/>
                </w:rPr>
                <w:t>here</w:t>
              </w:r>
            </w:hyperlink>
            <w:r w:rsidRPr="00336ECB">
              <w:rPr>
                <w:color w:val="444444"/>
                <w:sz w:val="28"/>
                <w:szCs w:val="28"/>
              </w:rPr>
              <w:t xml:space="preserve"> for the eligibility criteria for </w:t>
            </w:r>
            <w:proofErr w:type="spellStart"/>
            <w:r w:rsidRPr="00336ECB">
              <w:rPr>
                <w:color w:val="444444"/>
                <w:sz w:val="28"/>
                <w:szCs w:val="28"/>
              </w:rPr>
              <w:t>MultiMind</w:t>
            </w:r>
            <w:proofErr w:type="spellEnd"/>
            <w:r w:rsidRPr="00336ECB">
              <w:rPr>
                <w:color w:val="444444"/>
                <w:sz w:val="28"/>
                <w:szCs w:val="28"/>
              </w:rPr>
              <w:t xml:space="preserve"> (look for ESR6 for position in UPM) and </w:t>
            </w:r>
            <w:hyperlink r:id="rId16" w:tgtFrame="_blank" w:history="1">
              <w:r w:rsidRPr="00336ECB">
                <w:rPr>
                  <w:rStyle w:val="Hyperlink"/>
                  <w:color w:val="1185D7"/>
                  <w:sz w:val="28"/>
                  <w:szCs w:val="28"/>
                </w:rPr>
                <w:t>here</w:t>
              </w:r>
            </w:hyperlink>
            <w:r w:rsidRPr="00336ECB">
              <w:rPr>
                <w:color w:val="444444"/>
                <w:sz w:val="28"/>
                <w:szCs w:val="28"/>
              </w:rPr>
              <w:t> for the application procedure.</w:t>
            </w:r>
            <w:r>
              <w:rPr>
                <w:rFonts w:eastAsia="Malgun Gothic" w:hint="eastAsia"/>
                <w:color w:val="444444"/>
                <w:sz w:val="28"/>
                <w:szCs w:val="28"/>
              </w:rPr>
              <w:t xml:space="preserve"> </w:t>
            </w:r>
          </w:p>
          <w:p w:rsidR="00462B5E" w:rsidRDefault="00336ECB" w:rsidP="00462B5E">
            <w:pPr>
              <w:pStyle w:val="NormalWeb"/>
              <w:shd w:val="clear" w:color="auto" w:fill="FFFFFF"/>
              <w:spacing w:beforeAutospacing="0" w:afterAutospacing="0"/>
              <w:jc w:val="both"/>
              <w:rPr>
                <w:rFonts w:eastAsia="Malgun Gothic"/>
                <w:color w:val="444444"/>
                <w:sz w:val="28"/>
                <w:szCs w:val="28"/>
              </w:rPr>
            </w:pPr>
            <w:r w:rsidRPr="00336ECB">
              <w:rPr>
                <w:color w:val="444444"/>
                <w:sz w:val="28"/>
                <w:szCs w:val="28"/>
              </w:rPr>
              <w:t xml:space="preserve">For further information, contact the principal investigator at UPM, </w:t>
            </w:r>
            <w:hyperlink r:id="rId17" w:history="1">
              <w:r w:rsidRPr="00336ECB">
                <w:rPr>
                  <w:rStyle w:val="Hyperlink"/>
                  <w:sz w:val="28"/>
                  <w:szCs w:val="28"/>
                </w:rPr>
                <w:t>Associate Profeesor Dr Yap Ngee Thai</w:t>
              </w:r>
            </w:hyperlink>
            <w:r w:rsidRPr="00336ECB">
              <w:rPr>
                <w:color w:val="444444"/>
                <w:sz w:val="28"/>
                <w:szCs w:val="28"/>
              </w:rPr>
              <w:t xml:space="preserve"> at </w:t>
            </w:r>
            <w:hyperlink r:id="rId18" w:history="1">
              <w:r w:rsidRPr="00336ECB">
                <w:rPr>
                  <w:rStyle w:val="Hyperlink"/>
                  <w:sz w:val="28"/>
                  <w:szCs w:val="28"/>
                </w:rPr>
                <w:t>ntyap@upm.edu.my</w:t>
              </w:r>
            </w:hyperlink>
            <w:r w:rsidRPr="00336ECB">
              <w:rPr>
                <w:color w:val="444444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421F73" w:rsidRPr="00421F73" w:rsidRDefault="00421F73" w:rsidP="00462B5E">
            <w:pPr>
              <w:pStyle w:val="NormalWeb"/>
              <w:shd w:val="clear" w:color="auto" w:fill="FFFFFF"/>
              <w:spacing w:beforeAutospacing="0" w:afterAutospacing="0"/>
              <w:jc w:val="both"/>
              <w:rPr>
                <w:rFonts w:eastAsia="Malgun Gothic"/>
                <w:color w:val="444444"/>
                <w:sz w:val="28"/>
                <w:szCs w:val="28"/>
              </w:rPr>
            </w:pPr>
          </w:p>
        </w:tc>
      </w:tr>
      <w:tr w:rsidR="00336ECB" w:rsidTr="00F96520">
        <w:trPr>
          <w:trHeight w:val="1275"/>
        </w:trPr>
        <w:tc>
          <w:tcPr>
            <w:tcW w:w="287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36ECB" w:rsidRDefault="00336ECB" w:rsidP="00336ECB">
            <w:pPr>
              <w:pStyle w:val="NormalWeb"/>
              <w:spacing w:before="240" w:after="240"/>
            </w:pPr>
            <w:r w:rsidRPr="00336ECB">
              <w:rPr>
                <w:noProof/>
                <w:lang w:val="en-US" w:eastAsia="zh-CN"/>
              </w:rPr>
              <w:drawing>
                <wp:inline distT="0" distB="0" distL="0" distR="0">
                  <wp:extent cx="1609725" cy="737971"/>
                  <wp:effectExtent l="19050" t="0" r="9525" b="0"/>
                  <wp:docPr id="7" name="Picture 4" descr="https://tse3.mm.bing.net/th?id=OIP.FuWbQY2WVud4wJV1kddAvAHaDZ&amp;pid=15.1&amp;P=0&amp;w=373&amp;h=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tse3.mm.bing.net/th?id=OIP.FuWbQY2WVud4wJV1kddAvAHaDZ&amp;pid=15.1&amp;P=0&amp;w=373&amp;h=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165" cy="759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  <w:gridSpan w:val="2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36ECB" w:rsidRDefault="00336ECB" w:rsidP="00336ECB">
            <w:pPr>
              <w:pStyle w:val="NormalWeb"/>
              <w:jc w:val="right"/>
            </w:pPr>
            <w:r w:rsidRPr="00336ECB">
              <w:rPr>
                <w:noProof/>
                <w:lang w:val="en-US" w:eastAsia="zh-CN"/>
              </w:rPr>
              <w:drawing>
                <wp:inline distT="0" distB="0" distL="0" distR="0">
                  <wp:extent cx="936534" cy="634427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490" cy="639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ECB" w:rsidTr="00F96520">
        <w:trPr>
          <w:trHeight w:val="1275"/>
        </w:trPr>
        <w:tc>
          <w:tcPr>
            <w:tcW w:w="2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36ECB" w:rsidRDefault="00336ECB" w:rsidP="00336ECB">
            <w:pPr>
              <w:pStyle w:val="NormalWeb"/>
              <w:spacing w:before="240" w:after="240"/>
            </w:pPr>
            <w:r w:rsidRPr="00336ECB">
              <w:rPr>
                <w:noProof/>
                <w:lang w:val="en-US" w:eastAsia="zh-CN"/>
              </w:rPr>
              <w:drawing>
                <wp:inline distT="0" distB="0" distL="0" distR="0">
                  <wp:extent cx="1724025" cy="578694"/>
                  <wp:effectExtent l="19050" t="0" r="9525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609" cy="590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36ECB" w:rsidRDefault="00336ECB" w:rsidP="00016EA8">
            <w:pPr>
              <w:pStyle w:val="NormalWeb"/>
              <w:jc w:val="both"/>
            </w:pPr>
            <w:r w:rsidRPr="008933B9">
              <w:rPr>
                <w:rFonts w:ascii="Arial" w:hAnsi="Arial" w:cs="Arial"/>
                <w:color w:val="424242"/>
                <w:sz w:val="20"/>
                <w:szCs w:val="20"/>
              </w:rPr>
              <w:t xml:space="preserve">This project has received funding from the European Union's Horizon2020 research and innovation programme under the Marie </w:t>
            </w:r>
            <w:proofErr w:type="spellStart"/>
            <w:r w:rsidRPr="008933B9">
              <w:rPr>
                <w:rFonts w:ascii="Arial" w:hAnsi="Arial" w:cs="Arial"/>
                <w:color w:val="424242"/>
                <w:sz w:val="20"/>
                <w:szCs w:val="20"/>
              </w:rPr>
              <w:t>Skłodowska</w:t>
            </w:r>
            <w:proofErr w:type="spellEnd"/>
            <w:r w:rsidRPr="008933B9">
              <w:rPr>
                <w:rFonts w:ascii="Arial" w:hAnsi="Arial" w:cs="Arial"/>
                <w:color w:val="424242"/>
                <w:sz w:val="20"/>
                <w:szCs w:val="20"/>
              </w:rPr>
              <w:t xml:space="preserve"> Curie grant agreement No 765556.</w:t>
            </w:r>
          </w:p>
        </w:tc>
      </w:tr>
    </w:tbl>
    <w:p w:rsidR="00C71B0B" w:rsidRPr="00462B5E" w:rsidRDefault="00C71B0B">
      <w:pPr>
        <w:rPr>
          <w:rFonts w:eastAsia="Malgun Gothic"/>
        </w:rPr>
      </w:pPr>
    </w:p>
    <w:sectPr w:rsidR="00C71B0B" w:rsidRPr="00462B5E" w:rsidSect="00421F7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B71" w:rsidRDefault="00090B71" w:rsidP="00CE7DCB">
      <w:pPr>
        <w:spacing w:after="0" w:line="240" w:lineRule="auto"/>
      </w:pPr>
      <w:r>
        <w:separator/>
      </w:r>
    </w:p>
  </w:endnote>
  <w:endnote w:type="continuationSeparator" w:id="0">
    <w:p w:rsidR="00090B71" w:rsidRDefault="00090B71" w:rsidP="00CE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B71" w:rsidRDefault="00090B71" w:rsidP="00CE7DCB">
      <w:pPr>
        <w:spacing w:after="0" w:line="240" w:lineRule="auto"/>
      </w:pPr>
      <w:r>
        <w:separator/>
      </w:r>
    </w:p>
  </w:footnote>
  <w:footnote w:type="continuationSeparator" w:id="0">
    <w:p w:rsidR="00090B71" w:rsidRDefault="00090B71" w:rsidP="00CE7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6ECB"/>
    <w:rsid w:val="00016EA8"/>
    <w:rsid w:val="00090B71"/>
    <w:rsid w:val="00336ECB"/>
    <w:rsid w:val="00421F73"/>
    <w:rsid w:val="00462B5E"/>
    <w:rsid w:val="00484942"/>
    <w:rsid w:val="0098301E"/>
    <w:rsid w:val="009E28D1"/>
    <w:rsid w:val="00A20DDC"/>
    <w:rsid w:val="00C71B0B"/>
    <w:rsid w:val="00CE7DCB"/>
    <w:rsid w:val="00E11575"/>
    <w:rsid w:val="00F9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CB"/>
    <w:pPr>
      <w:spacing w:after="160" w:line="259" w:lineRule="auto"/>
    </w:pPr>
    <w:rPr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36ECB"/>
    <w:pPr>
      <w:spacing w:after="0" w:line="240" w:lineRule="auto"/>
    </w:pPr>
    <w:rPr>
      <w:lang w:val="en-GB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CB"/>
    <w:rPr>
      <w:rFonts w:ascii="Tahoma" w:hAnsi="Tahoma" w:cs="Tahoma"/>
      <w:sz w:val="16"/>
      <w:szCs w:val="16"/>
      <w:lang w:val="en-GB" w:eastAsia="ko-KR"/>
    </w:rPr>
  </w:style>
  <w:style w:type="character" w:styleId="Hyperlink">
    <w:name w:val="Hyperlink"/>
    <w:basedOn w:val="DefaultParagraphFont"/>
    <w:uiPriority w:val="99"/>
    <w:unhideWhenUsed/>
    <w:rsid w:val="00336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E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DCB"/>
    <w:rPr>
      <w:lang w:val="en-GB"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CE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DCB"/>
    <w:rPr>
      <w:lang w:val="en-GB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eading.ac.uk/psychology/about/staff/c-pliatsikas.aspx" TargetMode="External"/><Relationship Id="rId18" Type="http://schemas.openxmlformats.org/officeDocument/2006/relationships/hyperlink" Target="mailto:ntyap@upm.edu.my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oleObject" Target="embeddings/oleObject1.bin"/><Relationship Id="rId12" Type="http://schemas.openxmlformats.org/officeDocument/2006/relationships/hyperlink" Target="https://www.multilingualmind.eu/" TargetMode="External"/><Relationship Id="rId17" Type="http://schemas.openxmlformats.org/officeDocument/2006/relationships/hyperlink" Target="mailto:Associate%20Profeesor%20Dr%20Yap%20Ngee%20Tha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ultilingualmind.eu/copy-of-15-early-stage-researchers-" TargetMode="Externa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hyperlink" Target="https://www.multilingualmind.eu/15-early-stage-researchers-esr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reading.ac.uk/j-d-saddy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2</cp:revision>
  <cp:lastPrinted>2018-05-31T04:18:00Z</cp:lastPrinted>
  <dcterms:created xsi:type="dcterms:W3CDTF">2018-05-31T04:20:00Z</dcterms:created>
  <dcterms:modified xsi:type="dcterms:W3CDTF">2018-05-31T04:20:00Z</dcterms:modified>
</cp:coreProperties>
</file>